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26DF1" w14:textId="77777777" w:rsidR="00673947" w:rsidRPr="0072030E" w:rsidRDefault="00673947" w:rsidP="00673947">
      <w:pPr>
        <w:shd w:val="clear" w:color="auto" w:fill="FFFFFF"/>
        <w:spacing w:line="240" w:lineRule="auto"/>
        <w:jc w:val="center"/>
        <w:outlineLvl w:val="0"/>
        <w:rPr>
          <w:rFonts w:ascii="inherit" w:eastAsia="Times New Roman" w:hAnsi="inherit" w:cs="Times New Roman"/>
          <w:b/>
          <w:bCs/>
          <w:color w:val="1D1D1B"/>
          <w:spacing w:val="12"/>
          <w:kern w:val="36"/>
          <w:sz w:val="45"/>
          <w:szCs w:val="45"/>
        </w:rPr>
      </w:pPr>
      <w:proofErr w:type="spellStart"/>
      <w:r w:rsidRPr="0072030E">
        <w:rPr>
          <w:rFonts w:ascii="inherit" w:eastAsia="Times New Roman" w:hAnsi="inherit" w:cs="Times New Roman"/>
          <w:b/>
          <w:bCs/>
          <w:color w:val="1D1D1B"/>
          <w:kern w:val="36"/>
          <w:sz w:val="45"/>
          <w:szCs w:val="45"/>
        </w:rPr>
        <w:t>Technistone</w:t>
      </w:r>
      <w:proofErr w:type="spellEnd"/>
      <w:r w:rsidRPr="0072030E">
        <w:rPr>
          <w:rFonts w:ascii="inherit" w:eastAsia="Times New Roman" w:hAnsi="inherit" w:cs="Times New Roman"/>
          <w:b/>
          <w:bCs/>
          <w:color w:val="1D1D1B"/>
          <w:kern w:val="36"/>
          <w:sz w:val="45"/>
          <w:szCs w:val="45"/>
        </w:rPr>
        <w:t>® kvarc jótállás</w:t>
      </w:r>
    </w:p>
    <w:tbl>
      <w:tblPr>
        <w:tblW w:w="0" w:type="auto"/>
        <w:tblCellMar>
          <w:top w:w="15" w:type="dxa"/>
          <w:left w:w="15" w:type="dxa"/>
          <w:bottom w:w="15" w:type="dxa"/>
          <w:right w:w="15" w:type="dxa"/>
        </w:tblCellMar>
        <w:tblLook w:val="04A0" w:firstRow="1" w:lastRow="0" w:firstColumn="1" w:lastColumn="0" w:noHBand="0" w:noVBand="1"/>
      </w:tblPr>
      <w:tblGrid>
        <w:gridCol w:w="9072"/>
      </w:tblGrid>
      <w:tr w:rsidR="00673947" w:rsidRPr="0072030E" w14:paraId="5378FF66" w14:textId="77777777" w:rsidTr="00673947">
        <w:tc>
          <w:tcPr>
            <w:tcW w:w="0" w:type="auto"/>
            <w:vAlign w:val="center"/>
            <w:hideMark/>
          </w:tcPr>
          <w:p w14:paraId="3AB09F3A" w14:textId="77777777" w:rsidR="00673947" w:rsidRPr="0072030E" w:rsidRDefault="00673947" w:rsidP="00673947">
            <w:pPr>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b/>
                <w:bCs/>
                <w:color w:val="1D1D1B"/>
                <w:sz w:val="24"/>
                <w:szCs w:val="24"/>
              </w:rPr>
              <w:t xml:space="preserve">A </w:t>
            </w:r>
            <w:proofErr w:type="spellStart"/>
            <w:r w:rsidRPr="0072030E">
              <w:rPr>
                <w:rFonts w:ascii="Roboto" w:eastAsia="Times New Roman" w:hAnsi="Roboto" w:cs="Times New Roman"/>
                <w:b/>
                <w:bCs/>
                <w:color w:val="1D1D1B"/>
                <w:sz w:val="24"/>
                <w:szCs w:val="24"/>
              </w:rPr>
              <w:t>Technistone</w:t>
            </w:r>
            <w:proofErr w:type="spellEnd"/>
            <w:r w:rsidRPr="0072030E">
              <w:rPr>
                <w:rFonts w:ascii="Roboto" w:eastAsia="Times New Roman" w:hAnsi="Roboto" w:cs="Times New Roman"/>
                <w:b/>
                <w:bCs/>
                <w:color w:val="1D1D1B"/>
                <w:sz w:val="24"/>
                <w:szCs w:val="24"/>
              </w:rPr>
              <w:t xml:space="preserve"> 10 éves garanciát nyújt a beltéri táblákra</w:t>
            </w:r>
          </w:p>
          <w:p w14:paraId="24D94465" w14:textId="77777777" w:rsidR="00673947" w:rsidRPr="0072030E" w:rsidRDefault="00673947" w:rsidP="00673947">
            <w:pPr>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A jótállás aktiválásához regisztrálnia kell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xml:space="preserve">® terméket a Vállalat honlapjának „Ügyfélszolgálat” menüpontjában, a „Jótállás” felületen (vagy kattintson az alábbi linkre). A jótállás azon a napon kezdődik meg, amikor a jóváhagyott kivitelező beépíti a legyártott táblákat a beltéri lakókörnyezetbe. A regisztrációt az ilyen beépítéstől számított 30 napon belül el kell végezni. A jótállást a táblákra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xml:space="preserve"> vállalat kizárólag beltéri lakókörnyezetbe (azaz beltéri használatra) történő beépítés esetén biztosítja, nyilvános vagy kültéri területeken történő beépítés esetén nem érvényes</w:t>
            </w:r>
          </w:p>
          <w:p w14:paraId="3E21A5BE" w14:textId="77777777" w:rsidR="00673947" w:rsidRPr="0072030E" w:rsidRDefault="00673947" w:rsidP="00673947">
            <w:pPr>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A jelen jótállási feltételekkel összhangban az eladó a teljes jótállási időszak alatt köteles az ügyfél részére a meghatározott szolgáltatások nyújtására és teljesítésére.</w:t>
            </w:r>
          </w:p>
          <w:p w14:paraId="2BE035B4" w14:textId="77777777" w:rsidR="00673947" w:rsidRPr="0072030E" w:rsidRDefault="002A7D68" w:rsidP="00673947">
            <w:pPr>
              <w:spacing w:after="0" w:line="375" w:lineRule="atLeast"/>
              <w:rPr>
                <w:rFonts w:ascii="Roboto" w:eastAsia="Times New Roman" w:hAnsi="Roboto" w:cs="Times New Roman"/>
                <w:color w:val="1D1D1B"/>
                <w:spacing w:val="5"/>
                <w:sz w:val="24"/>
                <w:szCs w:val="24"/>
              </w:rPr>
            </w:pPr>
            <w:hyperlink r:id="rId4" w:history="1">
              <w:r w:rsidR="00673947" w:rsidRPr="0072030E">
                <w:rPr>
                  <w:rFonts w:ascii="Roboto" w:eastAsia="Times New Roman" w:hAnsi="Roboto" w:cs="Times New Roman"/>
                  <w:b/>
                  <w:bCs/>
                  <w:color w:val="B38F55"/>
                  <w:sz w:val="24"/>
                  <w:szCs w:val="24"/>
                  <w:u w:val="single"/>
                </w:rPr>
                <w:t>http://www.technistone.com/en/warranty</w:t>
              </w:r>
            </w:hyperlink>
          </w:p>
        </w:tc>
      </w:tr>
    </w:tbl>
    <w:p w14:paraId="2B762F5C" w14:textId="77777777" w:rsidR="00673947" w:rsidRPr="0072030E" w:rsidRDefault="00673947" w:rsidP="00673947">
      <w:pPr>
        <w:shd w:val="clear" w:color="auto" w:fill="FFFFFF"/>
        <w:spacing w:after="150" w:line="240" w:lineRule="auto"/>
        <w:outlineLvl w:val="2"/>
        <w:rPr>
          <w:rFonts w:ascii="Roboto" w:eastAsia="Times New Roman" w:hAnsi="Roboto" w:cs="Times New Roman"/>
          <w:b/>
          <w:bCs/>
          <w:color w:val="1D1D1B"/>
          <w:spacing w:val="12"/>
          <w:sz w:val="45"/>
          <w:szCs w:val="45"/>
        </w:rPr>
      </w:pPr>
    </w:p>
    <w:p w14:paraId="42630098" w14:textId="05EE8BCF" w:rsidR="00673947" w:rsidRPr="0072030E" w:rsidRDefault="00673947" w:rsidP="00673947">
      <w:pPr>
        <w:shd w:val="clear" w:color="auto" w:fill="FFFFFF"/>
        <w:spacing w:after="150" w:line="240" w:lineRule="auto"/>
        <w:outlineLvl w:val="2"/>
        <w:rPr>
          <w:rFonts w:ascii="inherit" w:eastAsia="Times New Roman" w:hAnsi="inherit" w:cs="Times New Roman"/>
          <w:color w:val="1D1D1B"/>
          <w:spacing w:val="12"/>
          <w:sz w:val="45"/>
          <w:szCs w:val="45"/>
        </w:rPr>
      </w:pPr>
      <w:r w:rsidRPr="0072030E">
        <w:rPr>
          <w:rFonts w:ascii="Roboto" w:eastAsia="Times New Roman" w:hAnsi="Roboto" w:cs="Times New Roman"/>
          <w:b/>
          <w:bCs/>
          <w:color w:val="1D1D1B"/>
          <w:sz w:val="45"/>
          <w:szCs w:val="45"/>
        </w:rPr>
        <w:t>ÁLTALÁNOS TUDNIVALÓK:</w:t>
      </w:r>
    </w:p>
    <w:p w14:paraId="6B1AA062"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b/>
          <w:bCs/>
          <w:color w:val="1D1D1B"/>
          <w:sz w:val="24"/>
          <w:szCs w:val="24"/>
        </w:rPr>
        <w:t xml:space="preserve">A </w:t>
      </w:r>
      <w:proofErr w:type="spellStart"/>
      <w:r w:rsidRPr="0072030E">
        <w:rPr>
          <w:rFonts w:ascii="Roboto" w:eastAsia="Times New Roman" w:hAnsi="Roboto" w:cs="Times New Roman"/>
          <w:b/>
          <w:bCs/>
          <w:color w:val="1D1D1B"/>
          <w:sz w:val="24"/>
          <w:szCs w:val="24"/>
        </w:rPr>
        <w:t>Technistone</w:t>
      </w:r>
      <w:proofErr w:type="spellEnd"/>
      <w:r w:rsidRPr="0072030E">
        <w:rPr>
          <w:rFonts w:ascii="Roboto" w:eastAsia="Times New Roman" w:hAnsi="Roboto" w:cs="Times New Roman"/>
          <w:b/>
          <w:bCs/>
          <w:color w:val="1D1D1B"/>
          <w:sz w:val="24"/>
          <w:szCs w:val="24"/>
        </w:rPr>
        <w:t xml:space="preserve"> (a továbbiakban: „a gyártó”) nem vállal felelősséget az alábbi károk esetén benyújtott követelések vonatkozásában:</w:t>
      </w:r>
    </w:p>
    <w:p w14:paraId="7787AF48"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(1)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termékek helytelen beépítése és/vagy anyagmozgatása, vagy ha nem jóváhagyott kivitelező építi be a terméket.</w:t>
      </w:r>
    </w:p>
    <w:p w14:paraId="2B5C5BB6"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(2) A gyártó vagy a helyi építésügyi jogszabályok és ajánlások által meghatározott beépítési utasítások be nem tartása, beleértve a fugák kialakítását is.</w:t>
      </w:r>
    </w:p>
    <w:p w14:paraId="11372704"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(3)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termékek használata a gyártó által ajánlott normál használati feltételeken kívül, nem szabványos alkalmazásokban vagy olyan módon, amely nincs összhangban a helyi építési jogszabályokkal és ajánlásokkal.</w:t>
      </w:r>
    </w:p>
    <w:p w14:paraId="0BE08C63" w14:textId="57579AD0" w:rsidR="0072030E" w:rsidRDefault="00673947" w:rsidP="00673947">
      <w:pPr>
        <w:shd w:val="clear" w:color="auto" w:fill="FFFFFF"/>
        <w:spacing w:after="100" w:afterAutospacing="1" w:line="375" w:lineRule="atLeast"/>
        <w:rPr>
          <w:rFonts w:ascii="Roboto" w:eastAsia="Times New Roman" w:hAnsi="Roboto" w:cs="Times New Roman"/>
          <w:color w:val="1D1D1B"/>
          <w:sz w:val="24"/>
          <w:szCs w:val="24"/>
        </w:rPr>
      </w:pPr>
      <w:r w:rsidRPr="0072030E">
        <w:rPr>
          <w:rFonts w:ascii="Roboto" w:eastAsia="Times New Roman" w:hAnsi="Roboto" w:cs="Times New Roman"/>
          <w:color w:val="1D1D1B"/>
          <w:sz w:val="24"/>
          <w:szCs w:val="24"/>
        </w:rPr>
        <w:t xml:space="preserve">(4) Azon alapfelület elmozdulása, deformációja, összeroskadása vagy megváltozása esetén, amelyre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termékek beépítésre kerültek.</w:t>
      </w:r>
      <w:r w:rsidR="0072030E">
        <w:rPr>
          <w:rFonts w:ascii="Roboto" w:eastAsia="Times New Roman" w:hAnsi="Roboto" w:cs="Times New Roman"/>
          <w:color w:val="1D1D1B"/>
          <w:sz w:val="24"/>
          <w:szCs w:val="24"/>
        </w:rPr>
        <w:br w:type="page"/>
      </w:r>
    </w:p>
    <w:p w14:paraId="407673D4" w14:textId="77777777" w:rsidR="00673947" w:rsidRPr="0072030E" w:rsidRDefault="00673947" w:rsidP="0072030E">
      <w:pPr>
        <w:shd w:val="clear" w:color="auto" w:fill="FFFFFF"/>
        <w:spacing w:after="100" w:afterAutospacing="1" w:line="300"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lastRenderedPageBreak/>
        <w:t xml:space="preserve">(5) Bármely </w:t>
      </w:r>
      <w:proofErr w:type="spellStart"/>
      <w:r w:rsidRPr="0072030E">
        <w:rPr>
          <w:rFonts w:ascii="Roboto" w:eastAsia="Times New Roman" w:hAnsi="Roboto" w:cs="Times New Roman"/>
          <w:color w:val="1D1D1B"/>
          <w:sz w:val="24"/>
          <w:szCs w:val="24"/>
        </w:rPr>
        <w:t>vis</w:t>
      </w:r>
      <w:proofErr w:type="spellEnd"/>
      <w:r w:rsidRPr="0072030E">
        <w:rPr>
          <w:rFonts w:ascii="Roboto" w:eastAsia="Times New Roman" w:hAnsi="Roboto" w:cs="Times New Roman"/>
          <w:color w:val="1D1D1B"/>
          <w:sz w:val="24"/>
          <w:szCs w:val="24"/>
        </w:rPr>
        <w:t xml:space="preserve"> maior (pl. áradás, szélvihar, földrengés, villámcsapás stb.) vagy környezeti állapot (pl. légszennyezettség, szennyeződés, penész stb.) esetén.</w:t>
      </w:r>
    </w:p>
    <w:p w14:paraId="1B4658E5"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(6)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xml:space="preserve">® termékek a vásárló vagy harmadik fél vevő általi helytelen anyagmozgatása, tárolása, felhasználása esetén. Minden vásárló kizárólagos felelősséget vállal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termékek az adott alkalmazásban történő felhasználásának megvalósíthatóságára, alkalmasságára, megfelelőségére és biztonságára vonatkozóan.</w:t>
      </w:r>
    </w:p>
    <w:p w14:paraId="74CD0A9A"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(7) Esztétikai hibák, azaz látható minőségi hibák (felületi hibák vagy szín- vagy szerkezeti eltérések). A termékfelület bármilyen mechanikai vagy esztétikai hibájának függőleges nézőpontból világosan láthatónak kell lennie. A hiba definíciója: olyan eltérés az elfogadható specifikációtól és mérettől, amely hatással van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termék hosszú távú esztétikus megjelenésére.</w:t>
      </w:r>
    </w:p>
    <w:p w14:paraId="791CA5BC"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b/>
          <w:bCs/>
          <w:color w:val="1D1D1B"/>
          <w:sz w:val="24"/>
          <w:szCs w:val="24"/>
        </w:rPr>
        <w:t>A jótállás nem vonatkozik továbbá az következőkre:</w:t>
      </w:r>
    </w:p>
    <w:p w14:paraId="5B0F1DCC"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(1) Teljes egészében ki nem fizetett termék</w:t>
      </w:r>
    </w:p>
    <w:p w14:paraId="6DF708BA"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(2) Nyilvánvaló hibák a termékben, amelyeket nem jelentettek be a beépítés, összeszerelés vagy legyártás előtt</w:t>
      </w:r>
    </w:p>
    <w:p w14:paraId="3916BDCF"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(3) Olyan hibák a termékben, amely a vevő számára előzetesen ismert, vagy a megrendelés visszaigazolásakor arról tájékoztatást kapott</w:t>
      </w:r>
    </w:p>
    <w:p w14:paraId="387C79F4"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(4) A szín, szerkezet vagy kialakítás kismértékű eltérései.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táblák több mint 90%-ban természetes anyagokból készülnek, az esztétikai megjelenés eltérései a természetes jellemzőik részét képezik, nem csökkentik a táblák teljesítményét, ezért nem tekinthetők hibának</w:t>
      </w:r>
    </w:p>
    <w:p w14:paraId="1A5F519F"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(5) Az anyag kiválasztásakor felhasznált termékminta színének és a ténylegesen leszállított anyag színének eltérése</w:t>
      </w:r>
    </w:p>
    <w:p w14:paraId="55CAFB48"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(6) Rendellenes használatnak vagy feltételeknek, nem megfelelő anyagmozgatásnak, nem rendeltetésszerű vagy nem megfelelő használatnak, szélsőséges hőmérsékleteknek, szélsőséges időjárási körülményeknek, ultraibolya sugárzásnak, nem rendeltetésszerű fizikai vagy kémiai hatásoknak, savaknak és lúgoknak, szennyeződésnek vagy nem megfelelő ápolás és karbantartás okozta károknak kitett termékek, vágásból, repedésből, tompa ütésből eredő károk, az ügyfél általi nem rendeltetésszerű vagy nem megfelelő használat okozta károk vagy törés</w:t>
      </w:r>
    </w:p>
    <w:p w14:paraId="6716CDAC"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lastRenderedPageBreak/>
        <w:t xml:space="preserve">(7) Ideiglenes foltok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felületen (ujjlenyomatok, foltok vagy a normál használat okozta egyéb eltávolítható szennyeződések)</w:t>
      </w:r>
    </w:p>
    <w:p w14:paraId="70DD3B7D"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(8) A gyártói ajánlásoktól eltérő tisztítás, ápolás és karbantartás okozta károk.</w:t>
      </w:r>
    </w:p>
    <w:p w14:paraId="72401BD9"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(9) Kültéri használat</w:t>
      </w:r>
    </w:p>
    <w:p w14:paraId="20795456"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(10) Kiegészítő vagy extra javítások vagy átalakítások, mint pl. bármilyen, a tábla javítását vagy áthelyezését igénylő vízvezeték- vagy elektromos átalakítási munka, padló- vagy falfelületi munkavégzés. Az ügyfél teljes felelősséget vállal az ilyen javítások vagy átalakítások esetén.</w:t>
      </w:r>
    </w:p>
    <w:p w14:paraId="69A52E7F"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(11) Nyilvános épületekben (étterem, szálloda, repülőtéri csarnok, bevásárlóközpont, apartmanok vagy apartmanházak stb.) beépített termékek.</w:t>
      </w:r>
    </w:p>
    <w:p w14:paraId="00F5B461"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w:t>
      </w:r>
    </w:p>
    <w:p w14:paraId="6D15927A"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w:t>
      </w:r>
    </w:p>
    <w:p w14:paraId="6FA136B9"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A jótállás érvényesítéséhez és a gyors, minőségi szolgáltatás érdekében azon helyszínnel vegye fel a kapcsolatot, ahol az eredeti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táblát vásárolta.</w:t>
      </w:r>
    </w:p>
    <w:p w14:paraId="16BD4BE0"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Mellékeljen jó minőségű fényképes dokumentációt a bejelentett hibákhoz.</w:t>
      </w:r>
    </w:p>
    <w:p w14:paraId="77147CCE"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A jótállási eljárás ideje alatt a terméknek rendelkezésre kell állnia, hogy a kijelölt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képviselő szemrevételezéses vizsgálatot végezhessen, és az ügyfélnek be kell tartania a képviselő által adott utasításokat.</w:t>
      </w:r>
    </w:p>
    <w:p w14:paraId="6804E006"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Ha a táblát cserélni kell, 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által nyújtott garancia nem fedezi a feldolgozást, ismételt beépítést, valamint a kapcsolódó költségeket.</w:t>
      </w:r>
    </w:p>
    <w:p w14:paraId="1E132351" w14:textId="77777777" w:rsidR="00673947" w:rsidRPr="0072030E" w:rsidRDefault="00673947" w:rsidP="00673947">
      <w:pPr>
        <w:shd w:val="clear" w:color="auto" w:fill="FFFFFF"/>
        <w:spacing w:after="100" w:afterAutospacing="1" w:line="375" w:lineRule="atLeast"/>
        <w:rPr>
          <w:rFonts w:ascii="Roboto" w:eastAsia="Times New Roman" w:hAnsi="Roboto" w:cs="Times New Roman"/>
          <w:color w:val="1D1D1B"/>
          <w:spacing w:val="5"/>
          <w:sz w:val="24"/>
          <w:szCs w:val="24"/>
        </w:rPr>
      </w:pPr>
      <w:r w:rsidRPr="0072030E">
        <w:rPr>
          <w:rFonts w:ascii="Roboto" w:eastAsia="Times New Roman" w:hAnsi="Roboto" w:cs="Times New Roman"/>
          <w:color w:val="1D1D1B"/>
          <w:sz w:val="24"/>
          <w:szCs w:val="24"/>
        </w:rPr>
        <w:t xml:space="preserve">A </w:t>
      </w:r>
      <w:proofErr w:type="spellStart"/>
      <w:r w:rsidRPr="0072030E">
        <w:rPr>
          <w:rFonts w:ascii="Roboto" w:eastAsia="Times New Roman" w:hAnsi="Roboto" w:cs="Times New Roman"/>
          <w:color w:val="1D1D1B"/>
          <w:sz w:val="24"/>
          <w:szCs w:val="24"/>
        </w:rPr>
        <w:t>TechniStone</w:t>
      </w:r>
      <w:proofErr w:type="spellEnd"/>
      <w:r w:rsidRPr="0072030E">
        <w:rPr>
          <w:rFonts w:ascii="Roboto" w:eastAsia="Times New Roman" w:hAnsi="Roboto" w:cs="Times New Roman"/>
          <w:color w:val="1D1D1B"/>
          <w:sz w:val="24"/>
          <w:szCs w:val="24"/>
        </w:rPr>
        <w:t>® fenntartja a jogot, hogy a vevővel kötött megállapodás keretében az aktuális termékkínálatban megtalálható új színre cserélje a hibás táblát, mivel a termékkínálat a piac fejlődésének és követelményeinek megfelelően rendszeresen frissül.</w:t>
      </w:r>
    </w:p>
    <w:p w14:paraId="0BD44787" w14:textId="77777777" w:rsidR="000F1ED1" w:rsidRPr="0072030E" w:rsidRDefault="000F1ED1"/>
    <w:sectPr w:rsidR="000F1ED1" w:rsidRPr="007203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947"/>
    <w:rsid w:val="000F1ED1"/>
    <w:rsid w:val="002A7D68"/>
    <w:rsid w:val="00673947"/>
    <w:rsid w:val="0072030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9C133"/>
  <w15:chartTrackingRefBased/>
  <w15:docId w15:val="{8442E81C-75F4-4F20-A8BD-C3B8B853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link w:val="Cmsor1Char"/>
    <w:uiPriority w:val="9"/>
    <w:qFormat/>
    <w:rsid w:val="006739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link w:val="Cmsor3Char"/>
    <w:uiPriority w:val="9"/>
    <w:qFormat/>
    <w:rsid w:val="00673947"/>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73947"/>
    <w:rPr>
      <w:rFonts w:ascii="Times New Roman" w:eastAsia="Times New Roman" w:hAnsi="Times New Roman" w:cs="Times New Roman"/>
      <w:b/>
      <w:bCs/>
      <w:kern w:val="36"/>
      <w:sz w:val="48"/>
      <w:szCs w:val="48"/>
      <w:lang w:eastAsia="hu-HU"/>
    </w:rPr>
  </w:style>
  <w:style w:type="character" w:customStyle="1" w:styleId="Cmsor3Char">
    <w:name w:val="Címsor 3 Char"/>
    <w:basedOn w:val="Bekezdsalapbettpusa"/>
    <w:link w:val="Cmsor3"/>
    <w:uiPriority w:val="9"/>
    <w:rsid w:val="00673947"/>
    <w:rPr>
      <w:rFonts w:ascii="Times New Roman" w:eastAsia="Times New Roman" w:hAnsi="Times New Roman" w:cs="Times New Roman"/>
      <w:b/>
      <w:bCs/>
      <w:sz w:val="27"/>
      <w:szCs w:val="27"/>
      <w:lang w:eastAsia="hu-HU"/>
    </w:rPr>
  </w:style>
  <w:style w:type="paragraph" w:styleId="NormlWeb">
    <w:name w:val="Normal (Web)"/>
    <w:basedOn w:val="Norml"/>
    <w:uiPriority w:val="99"/>
    <w:semiHidden/>
    <w:unhideWhenUsed/>
    <w:rsid w:val="00673947"/>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673947"/>
    <w:rPr>
      <w:b/>
      <w:bCs/>
    </w:rPr>
  </w:style>
  <w:style w:type="character" w:styleId="Hiperhivatkozs">
    <w:name w:val="Hyperlink"/>
    <w:basedOn w:val="Bekezdsalapbettpusa"/>
    <w:uiPriority w:val="99"/>
    <w:semiHidden/>
    <w:unhideWhenUsed/>
    <w:rsid w:val="006739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086997">
      <w:bodyDiv w:val="1"/>
      <w:marLeft w:val="0"/>
      <w:marRight w:val="0"/>
      <w:marTop w:val="0"/>
      <w:marBottom w:val="0"/>
      <w:divBdr>
        <w:top w:val="none" w:sz="0" w:space="0" w:color="auto"/>
        <w:left w:val="none" w:sz="0" w:space="0" w:color="auto"/>
        <w:bottom w:val="none" w:sz="0" w:space="0" w:color="auto"/>
        <w:right w:val="none" w:sz="0" w:space="0" w:color="auto"/>
      </w:divBdr>
      <w:divsChild>
        <w:div w:id="1665469629">
          <w:marLeft w:val="0"/>
          <w:marRight w:val="0"/>
          <w:marTop w:val="750"/>
          <w:marBottom w:val="750"/>
          <w:divBdr>
            <w:top w:val="none" w:sz="0" w:space="0" w:color="auto"/>
            <w:left w:val="none" w:sz="0" w:space="0" w:color="auto"/>
            <w:bottom w:val="none" w:sz="0" w:space="0" w:color="auto"/>
            <w:right w:val="none" w:sz="0" w:space="0" w:color="auto"/>
          </w:divBdr>
          <w:divsChild>
            <w:div w:id="249781167">
              <w:marLeft w:val="-150"/>
              <w:marRight w:val="-150"/>
              <w:marTop w:val="0"/>
              <w:marBottom w:val="0"/>
              <w:divBdr>
                <w:top w:val="none" w:sz="0" w:space="0" w:color="auto"/>
                <w:left w:val="none" w:sz="0" w:space="0" w:color="auto"/>
                <w:bottom w:val="none" w:sz="0" w:space="0" w:color="auto"/>
                <w:right w:val="none" w:sz="0" w:space="0" w:color="auto"/>
              </w:divBdr>
              <w:divsChild>
                <w:div w:id="764112477">
                  <w:marLeft w:val="3375"/>
                  <w:marRight w:val="0"/>
                  <w:marTop w:val="0"/>
                  <w:marBottom w:val="0"/>
                  <w:divBdr>
                    <w:top w:val="none" w:sz="0" w:space="0" w:color="auto"/>
                    <w:left w:val="none" w:sz="0" w:space="0" w:color="auto"/>
                    <w:bottom w:val="none" w:sz="0" w:space="0" w:color="auto"/>
                    <w:right w:val="none" w:sz="0" w:space="0" w:color="auto"/>
                  </w:divBdr>
                </w:div>
              </w:divsChild>
            </w:div>
          </w:divsChild>
        </w:div>
        <w:div w:id="561452750">
          <w:marLeft w:val="-150"/>
          <w:marRight w:val="-150"/>
          <w:marTop w:val="0"/>
          <w:marBottom w:val="0"/>
          <w:divBdr>
            <w:top w:val="none" w:sz="0" w:space="0" w:color="auto"/>
            <w:left w:val="none" w:sz="0" w:space="0" w:color="auto"/>
            <w:bottom w:val="none" w:sz="0" w:space="0" w:color="auto"/>
            <w:right w:val="none" w:sz="0" w:space="0" w:color="auto"/>
          </w:divBdr>
          <w:divsChild>
            <w:div w:id="1509909378">
              <w:marLeft w:val="0"/>
              <w:marRight w:val="0"/>
              <w:marTop w:val="0"/>
              <w:marBottom w:val="0"/>
              <w:divBdr>
                <w:top w:val="none" w:sz="0" w:space="0" w:color="auto"/>
                <w:left w:val="none" w:sz="0" w:space="0" w:color="auto"/>
                <w:bottom w:val="none" w:sz="0" w:space="0" w:color="auto"/>
                <w:right w:val="none" w:sz="0" w:space="0" w:color="auto"/>
              </w:divBdr>
              <w:divsChild>
                <w:div w:id="963314284">
                  <w:marLeft w:val="0"/>
                  <w:marRight w:val="0"/>
                  <w:marTop w:val="0"/>
                  <w:marBottom w:val="0"/>
                  <w:divBdr>
                    <w:top w:val="none" w:sz="0" w:space="0" w:color="auto"/>
                    <w:left w:val="none" w:sz="0" w:space="0" w:color="auto"/>
                    <w:bottom w:val="none" w:sz="0" w:space="0" w:color="auto"/>
                    <w:right w:val="none" w:sz="0" w:space="0" w:color="auto"/>
                  </w:divBdr>
                  <w:divsChild>
                    <w:div w:id="373232142">
                      <w:marLeft w:val="-150"/>
                      <w:marRight w:val="-150"/>
                      <w:marTop w:val="0"/>
                      <w:marBottom w:val="600"/>
                      <w:divBdr>
                        <w:top w:val="none" w:sz="0" w:space="0" w:color="auto"/>
                        <w:left w:val="none" w:sz="0" w:space="0" w:color="auto"/>
                        <w:bottom w:val="none" w:sz="0" w:space="0" w:color="auto"/>
                        <w:right w:val="none" w:sz="0" w:space="0" w:color="auto"/>
                      </w:divBdr>
                      <w:divsChild>
                        <w:div w:id="85723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3310">
                  <w:marLeft w:val="0"/>
                  <w:marRight w:val="0"/>
                  <w:marTop w:val="0"/>
                  <w:marBottom w:val="0"/>
                  <w:divBdr>
                    <w:top w:val="none" w:sz="0" w:space="0" w:color="auto"/>
                    <w:left w:val="none" w:sz="0" w:space="0" w:color="auto"/>
                    <w:bottom w:val="none" w:sz="0" w:space="0" w:color="auto"/>
                    <w:right w:val="none" w:sz="0" w:space="0" w:color="auto"/>
                  </w:divBdr>
                  <w:divsChild>
                    <w:div w:id="1213881341">
                      <w:marLeft w:val="-150"/>
                      <w:marRight w:val="-150"/>
                      <w:marTop w:val="0"/>
                      <w:marBottom w:val="600"/>
                      <w:divBdr>
                        <w:top w:val="none" w:sz="0" w:space="0" w:color="auto"/>
                        <w:left w:val="none" w:sz="0" w:space="0" w:color="auto"/>
                        <w:bottom w:val="none" w:sz="0" w:space="0" w:color="auto"/>
                        <w:right w:val="none" w:sz="0" w:space="0" w:color="auto"/>
                      </w:divBdr>
                      <w:divsChild>
                        <w:div w:id="20571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78918">
                  <w:marLeft w:val="0"/>
                  <w:marRight w:val="0"/>
                  <w:marTop w:val="0"/>
                  <w:marBottom w:val="0"/>
                  <w:divBdr>
                    <w:top w:val="none" w:sz="0" w:space="0" w:color="auto"/>
                    <w:left w:val="none" w:sz="0" w:space="0" w:color="auto"/>
                    <w:bottom w:val="none" w:sz="0" w:space="0" w:color="auto"/>
                    <w:right w:val="none" w:sz="0" w:space="0" w:color="auto"/>
                  </w:divBdr>
                  <w:divsChild>
                    <w:div w:id="121505564">
                      <w:marLeft w:val="-150"/>
                      <w:marRight w:val="-150"/>
                      <w:marTop w:val="0"/>
                      <w:marBottom w:val="600"/>
                      <w:divBdr>
                        <w:top w:val="none" w:sz="0" w:space="0" w:color="auto"/>
                        <w:left w:val="none" w:sz="0" w:space="0" w:color="auto"/>
                        <w:bottom w:val="none" w:sz="0" w:space="0" w:color="auto"/>
                        <w:right w:val="none" w:sz="0" w:space="0" w:color="auto"/>
                      </w:divBdr>
                      <w:divsChild>
                        <w:div w:id="198700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echnistone.com/en/warranty"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4741</Characters>
  <Application>Microsoft Office Word</Application>
  <DocSecurity>4</DocSecurity>
  <Lines>39</Lines>
  <Paragraphs>10</Paragraphs>
  <ScaleCrop>false</ScaleCrop>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2021-08-18T10:42:00Z</dcterms:created>
  <dcterms:modified xsi:type="dcterms:W3CDTF">2021-08-18T10:42:00Z</dcterms:modified>
</cp:coreProperties>
</file>